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1410" w:rsidRDefault="00131410">
      <w:pPr>
        <w:spacing w:before="120" w:after="120" w:line="0" w:lineRule="atLeast"/>
        <w:jc w:val="center"/>
        <w:rPr>
          <w:rFonts w:eastAsia="標楷體"/>
          <w:sz w:val="56"/>
        </w:rPr>
      </w:pPr>
      <w:r w:rsidRPr="00753FEC">
        <w:rPr>
          <w:rFonts w:eastAsia="標楷體" w:hint="eastAsia"/>
          <w:sz w:val="56"/>
        </w:rPr>
        <w:t>總統科學獎遴選</w:t>
      </w:r>
      <w:r w:rsidR="00417ECC">
        <w:rPr>
          <w:rFonts w:eastAsia="標楷體" w:hint="eastAsia"/>
          <w:sz w:val="56"/>
        </w:rPr>
        <w:t>要點</w:t>
      </w:r>
    </w:p>
    <w:p w:rsidR="00700384" w:rsidRPr="00753FEC" w:rsidRDefault="00700384">
      <w:pPr>
        <w:spacing w:before="120" w:after="120" w:line="0" w:lineRule="atLeast"/>
        <w:jc w:val="center"/>
        <w:rPr>
          <w:rFonts w:eastAsia="標楷體"/>
          <w:sz w:val="56"/>
        </w:rPr>
      </w:pPr>
    </w:p>
    <w:p w:rsidR="00417ECC" w:rsidRDefault="00417ECC" w:rsidP="00417ECC">
      <w:pPr>
        <w:pStyle w:val="3"/>
        <w:spacing w:beforeLines="50" w:before="180" w:afterLines="50" w:after="180"/>
        <w:ind w:left="1439" w:rightChars="2" w:right="5" w:hangingChars="514" w:hanging="1439"/>
        <w:rPr>
          <w:rFonts w:ascii="Times New Roman" w:hAnsi="Times New Roman"/>
        </w:rPr>
      </w:pPr>
      <w:r w:rsidRPr="00417ECC">
        <w:rPr>
          <w:rFonts w:ascii="Times New Roman" w:hAnsi="Times New Roman" w:hint="eastAsia"/>
        </w:rPr>
        <w:t>一、宗旨：為提升臺灣在國際學術界之地位，並獎勵數理科學、生命科學、社會科學及應用科學在國際學術研究上具創新性且貢獻卓著之學者，尤以對臺灣社會有重大貢獻之基礎學術研究人才為優先獎勵對象。</w:t>
      </w:r>
    </w:p>
    <w:p w:rsidR="00417ECC" w:rsidRPr="00417ECC" w:rsidRDefault="00417ECC" w:rsidP="00417ECC">
      <w:pPr>
        <w:pStyle w:val="3"/>
        <w:spacing w:beforeLines="50" w:before="180" w:afterLines="50" w:after="180"/>
        <w:ind w:left="1439" w:rightChars="2" w:right="5" w:hangingChars="514" w:hanging="1439"/>
        <w:rPr>
          <w:rFonts w:ascii="Times New Roman" w:hAnsi="Times New Roman"/>
        </w:rPr>
      </w:pPr>
      <w:r w:rsidRPr="00417ECC">
        <w:rPr>
          <w:rFonts w:ascii="Times New Roman" w:hAnsi="Times New Roman" w:hint="eastAsia"/>
        </w:rPr>
        <w:t>二、總統科學獎委員會</w:t>
      </w:r>
    </w:p>
    <w:p w:rsidR="00417ECC" w:rsidRPr="00417ECC" w:rsidRDefault="00417ECC" w:rsidP="00417ECC">
      <w:pPr>
        <w:pStyle w:val="3"/>
        <w:spacing w:beforeLines="50" w:before="180" w:afterLines="50" w:after="180"/>
        <w:ind w:leftChars="235" w:left="1435" w:rightChars="2" w:right="5" w:hangingChars="311" w:hanging="871"/>
        <w:rPr>
          <w:rFonts w:ascii="Times New Roman" w:hAnsi="Times New Roman"/>
        </w:rPr>
      </w:pPr>
      <w:r w:rsidRPr="00417ECC">
        <w:rPr>
          <w:rFonts w:ascii="Times New Roman" w:hAnsi="Times New Roman" w:hint="eastAsia"/>
        </w:rPr>
        <w:t>（一）為辦理總統科學獎，組成總統科學獎委員會，置委員十五人，除中央研究院院長、科技部部長、總統府副秘書長、教育部部長、國家衛生研究院院長為當然委員外，其餘委員由總統聘請五位大學校長及五位卓越科學研究人員代表擔任之，並由中央研究院院長擔任召集人，科技部部長擔任副召集人，中央研究院學術諮詢總會執行秘書及科技部負責學術之次長擔任執行秘書</w:t>
      </w:r>
      <w:bookmarkStart w:id="0" w:name="_GoBack"/>
      <w:bookmarkEnd w:id="0"/>
      <w:r w:rsidRPr="00417ECC">
        <w:rPr>
          <w:rFonts w:ascii="Times New Roman" w:hAnsi="Times New Roman" w:hint="eastAsia"/>
        </w:rPr>
        <w:t>。</w:t>
      </w:r>
    </w:p>
    <w:p w:rsidR="00417ECC" w:rsidRPr="00417ECC" w:rsidRDefault="00417ECC" w:rsidP="00417ECC">
      <w:pPr>
        <w:pStyle w:val="3"/>
        <w:spacing w:beforeLines="50" w:before="180" w:afterLines="50" w:after="180"/>
        <w:ind w:leftChars="235" w:left="1435" w:rightChars="2" w:right="5" w:hangingChars="311" w:hanging="871"/>
        <w:rPr>
          <w:rFonts w:ascii="Times New Roman" w:hAnsi="Times New Roman"/>
        </w:rPr>
      </w:pPr>
      <w:r w:rsidRPr="00417ECC">
        <w:rPr>
          <w:rFonts w:ascii="Times New Roman" w:hAnsi="Times New Roman" w:hint="eastAsia"/>
        </w:rPr>
        <w:t>（二）總統科學獎委員會委員聘期二年，並得續聘，</w:t>
      </w:r>
      <w:proofErr w:type="gramStart"/>
      <w:r w:rsidRPr="00417ECC">
        <w:rPr>
          <w:rFonts w:ascii="Times New Roman" w:hAnsi="Times New Roman" w:hint="eastAsia"/>
        </w:rPr>
        <w:t>均為無</w:t>
      </w:r>
      <w:proofErr w:type="gramEnd"/>
      <w:r w:rsidRPr="00417ECC">
        <w:rPr>
          <w:rFonts w:ascii="Times New Roman" w:hAnsi="Times New Roman" w:hint="eastAsia"/>
        </w:rPr>
        <w:t>給職。除當然委員以職務任期</w:t>
      </w:r>
      <w:proofErr w:type="gramStart"/>
      <w:r w:rsidRPr="00417ECC">
        <w:rPr>
          <w:rFonts w:ascii="Times New Roman" w:hAnsi="Times New Roman" w:hint="eastAsia"/>
        </w:rPr>
        <w:t>為聘期外</w:t>
      </w:r>
      <w:proofErr w:type="gramEnd"/>
      <w:r w:rsidRPr="00417ECC">
        <w:rPr>
          <w:rFonts w:ascii="Times New Roman" w:hAnsi="Times New Roman" w:hint="eastAsia"/>
        </w:rPr>
        <w:t>，其餘委員不因職務異動而改聘。</w:t>
      </w:r>
    </w:p>
    <w:p w:rsidR="00417ECC" w:rsidRPr="00417ECC" w:rsidRDefault="00417ECC" w:rsidP="00417ECC">
      <w:pPr>
        <w:pStyle w:val="3"/>
        <w:spacing w:beforeLines="50" w:before="180" w:afterLines="50" w:after="180"/>
        <w:ind w:leftChars="235" w:left="1435" w:rightChars="2" w:right="5" w:hangingChars="311" w:hanging="871"/>
        <w:rPr>
          <w:rFonts w:ascii="Times New Roman" w:hAnsi="Times New Roman"/>
        </w:rPr>
      </w:pPr>
      <w:r w:rsidRPr="00417ECC">
        <w:rPr>
          <w:rFonts w:ascii="Times New Roman" w:hAnsi="Times New Roman" w:hint="eastAsia"/>
        </w:rPr>
        <w:t>（三）總統科學獎委員會委員於聘任</w:t>
      </w:r>
      <w:proofErr w:type="gramStart"/>
      <w:r w:rsidRPr="00417ECC">
        <w:rPr>
          <w:rFonts w:ascii="Times New Roman" w:hAnsi="Times New Roman" w:hint="eastAsia"/>
        </w:rPr>
        <w:t>期間，</w:t>
      </w:r>
      <w:proofErr w:type="gramEnd"/>
      <w:r w:rsidRPr="00417ECC">
        <w:rPr>
          <w:rFonts w:ascii="Times New Roman" w:hAnsi="Times New Roman" w:hint="eastAsia"/>
        </w:rPr>
        <w:t>不得被提名為候選人，亦不得因被提名為候選人而請辭；因其他</w:t>
      </w:r>
      <w:proofErr w:type="gramStart"/>
      <w:r w:rsidRPr="00417ECC">
        <w:rPr>
          <w:rFonts w:ascii="Times New Roman" w:hAnsi="Times New Roman" w:hint="eastAsia"/>
        </w:rPr>
        <w:t>原因辭聘者</w:t>
      </w:r>
      <w:proofErr w:type="gramEnd"/>
      <w:r w:rsidRPr="00417ECC">
        <w:rPr>
          <w:rFonts w:ascii="Times New Roman" w:hAnsi="Times New Roman" w:hint="eastAsia"/>
        </w:rPr>
        <w:t>，於原聘任期間亦不</w:t>
      </w:r>
      <w:r w:rsidR="00521EB5">
        <w:rPr>
          <w:rFonts w:ascii="Times New Roman" w:hAnsi="Times New Roman" w:hint="eastAsia"/>
        </w:rPr>
        <w:t>得被提名為候選人。總統科學獎委員會委員因故不足員額時，依第一</w:t>
      </w:r>
      <w:r w:rsidRPr="00417ECC">
        <w:rPr>
          <w:rFonts w:ascii="Times New Roman" w:hAnsi="Times New Roman" w:hint="eastAsia"/>
        </w:rPr>
        <w:t>款規定方式另聘委員補足原出缺委員之任期。</w:t>
      </w:r>
    </w:p>
    <w:p w:rsidR="00417ECC" w:rsidRPr="00753FEC" w:rsidRDefault="00417ECC" w:rsidP="00417ECC">
      <w:pPr>
        <w:pStyle w:val="3"/>
        <w:spacing w:beforeLines="50" w:before="180" w:afterLines="50" w:after="180"/>
        <w:ind w:leftChars="235" w:left="1435" w:rightChars="2" w:right="5" w:hangingChars="311" w:hanging="871"/>
        <w:rPr>
          <w:rFonts w:ascii="Times New Roman" w:hAnsi="Times New Roman"/>
        </w:rPr>
      </w:pPr>
      <w:r w:rsidRPr="00417ECC">
        <w:rPr>
          <w:rFonts w:ascii="Times New Roman" w:hAnsi="Times New Roman" w:hint="eastAsia"/>
        </w:rPr>
        <w:t>（四）總統科學獎委員會議召開時，委員因故不克出席者，得以書面委託其他委員一人代理出席。代理人得就會議事項，行使各項會議權利，並得對會議臨時事宜全權處理。</w:t>
      </w:r>
    </w:p>
    <w:p w:rsidR="00417ECC" w:rsidRDefault="00417ECC" w:rsidP="00417ECC">
      <w:pPr>
        <w:pStyle w:val="3"/>
        <w:spacing w:beforeLines="50" w:before="180" w:afterLines="50" w:after="180"/>
        <w:ind w:left="1439" w:rightChars="2" w:right="5" w:hangingChars="514" w:hanging="1439"/>
      </w:pPr>
      <w:r>
        <w:rPr>
          <w:rFonts w:hint="eastAsia"/>
        </w:rPr>
        <w:t>三、候選人之提名</w:t>
      </w:r>
    </w:p>
    <w:p w:rsidR="00417ECC" w:rsidRDefault="00417ECC" w:rsidP="00417ECC">
      <w:pPr>
        <w:pStyle w:val="3"/>
        <w:spacing w:beforeLines="50" w:before="180" w:afterLines="50" w:after="180"/>
        <w:ind w:leftChars="236" w:left="1437" w:rightChars="2" w:right="5" w:hangingChars="311" w:hanging="871"/>
      </w:pPr>
      <w:r>
        <w:rPr>
          <w:rFonts w:hint="eastAsia"/>
        </w:rPr>
        <w:t>總統科學獎候選人提名方式如下：</w:t>
      </w:r>
    </w:p>
    <w:p w:rsidR="00417ECC" w:rsidRDefault="00417ECC" w:rsidP="00417ECC">
      <w:pPr>
        <w:pStyle w:val="3"/>
        <w:spacing w:beforeLines="50" w:before="180" w:afterLines="50" w:after="180"/>
        <w:ind w:leftChars="236" w:left="1437" w:rightChars="2" w:right="5" w:hangingChars="311" w:hanging="871"/>
      </w:pPr>
      <w:r>
        <w:rPr>
          <w:rFonts w:hint="eastAsia"/>
        </w:rPr>
        <w:t>（一）中央研究院院士或總統科學獎得主，得提名候選人。</w:t>
      </w:r>
    </w:p>
    <w:p w:rsidR="00417ECC" w:rsidRDefault="00417ECC" w:rsidP="00417ECC">
      <w:pPr>
        <w:pStyle w:val="3"/>
        <w:spacing w:beforeLines="50" w:before="180" w:afterLines="50" w:after="180"/>
        <w:ind w:leftChars="236" w:left="1437" w:rightChars="2" w:right="5" w:hangingChars="311" w:hanging="871"/>
      </w:pPr>
      <w:r>
        <w:rPr>
          <w:rFonts w:hint="eastAsia"/>
        </w:rPr>
        <w:t>（二）總統科學獎委員會得邀請學術、研發單位或團體及社會賢達人士提名候選人。</w:t>
      </w:r>
    </w:p>
    <w:p w:rsidR="00417ECC" w:rsidRDefault="00417ECC" w:rsidP="00417ECC">
      <w:pPr>
        <w:pStyle w:val="3"/>
        <w:spacing w:beforeLines="50" w:before="180" w:afterLines="50" w:after="180"/>
        <w:ind w:rightChars="2" w:right="5"/>
      </w:pPr>
      <w:r>
        <w:rPr>
          <w:rFonts w:hint="eastAsia"/>
        </w:rPr>
        <w:t>四、遴選程序</w:t>
      </w:r>
    </w:p>
    <w:p w:rsidR="00417ECC" w:rsidRDefault="00417ECC" w:rsidP="00417ECC">
      <w:pPr>
        <w:pStyle w:val="3"/>
        <w:spacing w:beforeLines="50" w:before="180" w:afterLines="50" w:after="180"/>
        <w:ind w:leftChars="235" w:left="1415" w:rightChars="2" w:right="5" w:hangingChars="304" w:hanging="851"/>
      </w:pPr>
      <w:r>
        <w:rPr>
          <w:rFonts w:hint="eastAsia"/>
        </w:rPr>
        <w:t>（一）遴選小組</w:t>
      </w:r>
    </w:p>
    <w:p w:rsidR="00417ECC" w:rsidRDefault="00417ECC" w:rsidP="00417ECC">
      <w:pPr>
        <w:pStyle w:val="3"/>
        <w:spacing w:beforeLines="50" w:before="180" w:afterLines="50" w:after="180"/>
        <w:ind w:leftChars="591" w:left="1984" w:rightChars="2" w:right="5" w:hangingChars="202" w:hanging="566"/>
      </w:pPr>
      <w:r>
        <w:rPr>
          <w:rFonts w:hint="eastAsia"/>
        </w:rPr>
        <w:t>１、為辦理總統科學獎之遴選作業，設數理科學、生命科學、社會</w:t>
      </w:r>
      <w:r>
        <w:rPr>
          <w:rFonts w:hint="eastAsia"/>
        </w:rPr>
        <w:lastRenderedPageBreak/>
        <w:t>科學及應用科學四組遴選小組評審，各小組由總統科學獎委員會聘請九位至十一位委員組成，並由各遴選小組自行推舉各小組召集人。</w:t>
      </w:r>
    </w:p>
    <w:p w:rsidR="00417ECC" w:rsidRDefault="00417ECC" w:rsidP="00417ECC">
      <w:pPr>
        <w:pStyle w:val="3"/>
        <w:spacing w:beforeLines="50" w:before="180" w:afterLines="50" w:after="180"/>
        <w:ind w:leftChars="591" w:left="1984" w:rightChars="2" w:right="5" w:hangingChars="202" w:hanging="566"/>
      </w:pPr>
      <w:r>
        <w:rPr>
          <w:rFonts w:hint="eastAsia"/>
        </w:rPr>
        <w:t>２、遴選小組委員由總統科學獎委員會核聘，</w:t>
      </w:r>
      <w:proofErr w:type="gramStart"/>
      <w:r>
        <w:rPr>
          <w:rFonts w:hint="eastAsia"/>
        </w:rPr>
        <w:t>均為無</w:t>
      </w:r>
      <w:proofErr w:type="gramEnd"/>
      <w:r>
        <w:rPr>
          <w:rFonts w:hint="eastAsia"/>
        </w:rPr>
        <w:t>給職。</w:t>
      </w:r>
    </w:p>
    <w:p w:rsidR="00417ECC" w:rsidRDefault="00417ECC" w:rsidP="00417ECC">
      <w:pPr>
        <w:pStyle w:val="3"/>
        <w:spacing w:beforeLines="50" w:before="180" w:afterLines="50" w:after="180"/>
        <w:ind w:leftChars="235" w:left="1415" w:rightChars="2" w:right="5" w:hangingChars="304" w:hanging="851"/>
      </w:pPr>
      <w:r>
        <w:rPr>
          <w:rFonts w:hint="eastAsia"/>
        </w:rPr>
        <w:t>（二）遴選方式（請參閱「總統科學獎遴選要點」提名資料寄送注意事項，如附件一）</w:t>
      </w:r>
    </w:p>
    <w:p w:rsidR="00417ECC" w:rsidRDefault="00417ECC" w:rsidP="00417ECC">
      <w:pPr>
        <w:pStyle w:val="3"/>
        <w:spacing w:beforeLines="50" w:before="180" w:afterLines="50" w:after="180"/>
        <w:ind w:leftChars="592" w:left="1984" w:rightChars="2" w:right="5" w:hangingChars="201" w:hanging="563"/>
      </w:pPr>
      <w:r>
        <w:rPr>
          <w:rFonts w:hint="eastAsia"/>
        </w:rPr>
        <w:t>１、提名人應檢送下列資料：</w:t>
      </w:r>
    </w:p>
    <w:p w:rsidR="00417ECC" w:rsidRDefault="00417ECC" w:rsidP="00417ECC">
      <w:pPr>
        <w:pStyle w:val="3"/>
        <w:spacing w:beforeLines="50" w:before="180" w:afterLines="50" w:after="180"/>
        <w:ind w:leftChars="768" w:left="2691" w:rightChars="2" w:right="5" w:hangingChars="303" w:hanging="848"/>
      </w:pPr>
      <w:r>
        <w:rPr>
          <w:rFonts w:hint="eastAsia"/>
        </w:rPr>
        <w:t>（１）中、英文提名書（如附件二，電子</w:t>
      </w:r>
      <w:proofErr w:type="gramStart"/>
      <w:r>
        <w:rPr>
          <w:rFonts w:hint="eastAsia"/>
        </w:rPr>
        <w:t>檔</w:t>
      </w:r>
      <w:proofErr w:type="gramEnd"/>
      <w:r>
        <w:rPr>
          <w:rFonts w:hint="eastAsia"/>
        </w:rPr>
        <w:t>一份）。</w:t>
      </w:r>
    </w:p>
    <w:p w:rsidR="00417ECC" w:rsidRDefault="00417ECC" w:rsidP="00417ECC">
      <w:pPr>
        <w:pStyle w:val="3"/>
        <w:spacing w:beforeLines="50" w:before="180" w:afterLines="50" w:after="180"/>
        <w:ind w:leftChars="768" w:left="2691" w:rightChars="2" w:right="5" w:hangingChars="303" w:hanging="848"/>
      </w:pPr>
      <w:r>
        <w:rPr>
          <w:rFonts w:hint="eastAsia"/>
        </w:rPr>
        <w:t>（２）被提名人之中、英代表著作（三篇至五篇，電子檔），如無電子檔之著作專書正本，請另行郵寄。</w:t>
      </w:r>
    </w:p>
    <w:p w:rsidR="00417ECC" w:rsidRDefault="00417ECC" w:rsidP="00417ECC">
      <w:pPr>
        <w:pStyle w:val="3"/>
        <w:spacing w:beforeLines="50" w:before="180" w:afterLines="50" w:after="180"/>
        <w:ind w:leftChars="768" w:left="2691" w:rightChars="2" w:right="5" w:hangingChars="303" w:hanging="848"/>
      </w:pPr>
      <w:r>
        <w:rPr>
          <w:rFonts w:hint="eastAsia"/>
        </w:rPr>
        <w:t>（３）被提名人之學經歷簡介（電子</w:t>
      </w:r>
      <w:proofErr w:type="gramStart"/>
      <w:r>
        <w:rPr>
          <w:rFonts w:hint="eastAsia"/>
        </w:rPr>
        <w:t>檔</w:t>
      </w:r>
      <w:proofErr w:type="gramEnd"/>
      <w:r>
        <w:rPr>
          <w:rFonts w:hint="eastAsia"/>
        </w:rPr>
        <w:t>一份）。</w:t>
      </w:r>
    </w:p>
    <w:p w:rsidR="00417ECC" w:rsidRDefault="00417ECC" w:rsidP="00417ECC">
      <w:pPr>
        <w:pStyle w:val="3"/>
        <w:spacing w:beforeLines="50" w:before="180" w:afterLines="50" w:after="180"/>
        <w:ind w:leftChars="592" w:left="1984" w:rightChars="2" w:right="5" w:hangingChars="201" w:hanging="563"/>
      </w:pPr>
      <w:r>
        <w:rPr>
          <w:rFonts w:hint="eastAsia"/>
        </w:rPr>
        <w:t>２、提名人以外之國內外學者推薦函三封至五封，請於受理期間內</w:t>
      </w:r>
      <w:proofErr w:type="gramStart"/>
      <w:r>
        <w:rPr>
          <w:rFonts w:hint="eastAsia"/>
        </w:rPr>
        <w:t>逕</w:t>
      </w:r>
      <w:proofErr w:type="gramEnd"/>
      <w:r>
        <w:rPr>
          <w:rFonts w:hint="eastAsia"/>
        </w:rPr>
        <w:t>寄科技部之電子信箱：psp@most.gov.tw。</w:t>
      </w:r>
    </w:p>
    <w:p w:rsidR="00417ECC" w:rsidRDefault="00417ECC" w:rsidP="00417ECC">
      <w:pPr>
        <w:pStyle w:val="3"/>
        <w:spacing w:beforeLines="50" w:before="180" w:afterLines="50" w:after="180"/>
        <w:ind w:leftChars="592" w:left="1984" w:rightChars="2" w:right="5" w:hangingChars="201" w:hanging="563"/>
      </w:pPr>
      <w:r>
        <w:rPr>
          <w:rFonts w:hint="eastAsia"/>
        </w:rPr>
        <w:t>３、遴選作業由各遴選小組以分組會議審查方式辦理，並就</w:t>
      </w:r>
      <w:proofErr w:type="gramStart"/>
      <w:r>
        <w:rPr>
          <w:rFonts w:hint="eastAsia"/>
        </w:rPr>
        <w:t>提名案逐案</w:t>
      </w:r>
      <w:proofErr w:type="gramEnd"/>
      <w:r>
        <w:rPr>
          <w:rFonts w:hint="eastAsia"/>
        </w:rPr>
        <w:t>進行審查後，提出建議推薦名單，並具體敘明推薦理由。</w:t>
      </w:r>
    </w:p>
    <w:p w:rsidR="00417ECC" w:rsidRDefault="00417ECC" w:rsidP="00417ECC">
      <w:pPr>
        <w:pStyle w:val="3"/>
        <w:spacing w:beforeLines="50" w:before="180" w:afterLines="50" w:after="180"/>
        <w:ind w:leftChars="826" w:left="1982" w:rightChars="2" w:right="5" w:firstLine="1"/>
      </w:pPr>
      <w:r>
        <w:rPr>
          <w:rFonts w:hint="eastAsia"/>
        </w:rPr>
        <w:t>各遴選小組會議因故未能召開時，該小組召集人得以書面敘明理由，經總統科學獎委員會召集人同意後，以書面審查方式辦理。</w:t>
      </w:r>
    </w:p>
    <w:p w:rsidR="00417ECC" w:rsidRDefault="00417ECC" w:rsidP="00417ECC">
      <w:pPr>
        <w:pStyle w:val="3"/>
        <w:spacing w:beforeLines="50" w:before="180" w:afterLines="50" w:after="180"/>
        <w:ind w:leftChars="592" w:left="1984" w:rightChars="2" w:right="5" w:hangingChars="201" w:hanging="563"/>
      </w:pPr>
      <w:r>
        <w:rPr>
          <w:rFonts w:hint="eastAsia"/>
        </w:rPr>
        <w:t>４、得獎名單由總統科學獎委員會會同四組遴選小組召集人組成聯席會議共同決定之。</w:t>
      </w:r>
    </w:p>
    <w:p w:rsidR="00417ECC" w:rsidRDefault="00417ECC" w:rsidP="00417ECC">
      <w:pPr>
        <w:pStyle w:val="3"/>
        <w:spacing w:beforeLines="50" w:before="180" w:afterLines="50" w:after="180"/>
        <w:ind w:leftChars="826" w:left="1982" w:rightChars="2" w:right="5" w:firstLine="1"/>
      </w:pPr>
      <w:r>
        <w:rPr>
          <w:rFonts w:hint="eastAsia"/>
        </w:rPr>
        <w:t>聯席會議召開時，遴選小組召集人因故不克出席者，得以書面委託該遴選小組其他委員一人代理出席。會議進行中，出席委員因故提前離席者，除視為放棄其表決權外，亦不得委託其他出席委員代理其行使表決權。</w:t>
      </w:r>
    </w:p>
    <w:p w:rsidR="00417ECC" w:rsidRDefault="00417ECC" w:rsidP="00417ECC">
      <w:pPr>
        <w:pStyle w:val="3"/>
        <w:spacing w:beforeLines="50" w:before="180" w:afterLines="50" w:after="180"/>
        <w:ind w:leftChars="592" w:left="1984" w:rightChars="2" w:right="5" w:hangingChars="201" w:hanging="563"/>
      </w:pPr>
      <w:r>
        <w:rPr>
          <w:rFonts w:hint="eastAsia"/>
        </w:rPr>
        <w:t>５、遴選小組會議及聯席會議至少須有三分之二以上委員出席，始得召開。會議進行審查時，應經出席委員討論後投票，獲得出席委員四分之三以上同意票者，始得通過。</w:t>
      </w:r>
    </w:p>
    <w:p w:rsidR="00417ECC" w:rsidRDefault="00417ECC" w:rsidP="00417ECC">
      <w:pPr>
        <w:pStyle w:val="3"/>
        <w:spacing w:beforeLines="50" w:before="180" w:afterLines="50" w:after="180"/>
        <w:ind w:leftChars="826" w:left="1982" w:rightChars="2" w:right="5" w:firstLine="1"/>
      </w:pPr>
      <w:r>
        <w:rPr>
          <w:rFonts w:hint="eastAsia"/>
        </w:rPr>
        <w:t>聯席會議召開時，除遴選小組召集人外，其他委員不得委託他人代理出席。</w:t>
      </w:r>
    </w:p>
    <w:p w:rsidR="00417ECC" w:rsidRDefault="00417ECC" w:rsidP="00417ECC">
      <w:pPr>
        <w:pStyle w:val="3"/>
        <w:spacing w:beforeLines="50" w:before="180" w:afterLines="50" w:after="180"/>
        <w:ind w:leftChars="592" w:left="1984" w:rightChars="2" w:right="5" w:hangingChars="201" w:hanging="563"/>
      </w:pPr>
      <w:r>
        <w:rPr>
          <w:rFonts w:hint="eastAsia"/>
        </w:rPr>
        <w:t>６、總統科學獎委員會委員及遴選小組委員須遵守利益迴避原則。</w:t>
      </w:r>
    </w:p>
    <w:p w:rsidR="00417ECC" w:rsidRPr="00417ECC" w:rsidRDefault="00417ECC" w:rsidP="00417ECC">
      <w:pPr>
        <w:pStyle w:val="3"/>
        <w:spacing w:beforeLines="50" w:before="180" w:afterLines="50" w:after="180"/>
        <w:ind w:leftChars="592" w:left="1984" w:rightChars="2" w:right="5" w:hangingChars="201" w:hanging="563"/>
      </w:pPr>
      <w:r>
        <w:rPr>
          <w:rFonts w:hint="eastAsia"/>
        </w:rPr>
        <w:t>７、本獎項遴選結果如無適當得獎人時，得從缺。</w:t>
      </w:r>
    </w:p>
    <w:p w:rsidR="00417ECC" w:rsidRPr="00417ECC" w:rsidRDefault="00417ECC" w:rsidP="00417ECC">
      <w:pPr>
        <w:spacing w:beforeLines="50" w:before="180" w:afterLines="50" w:after="180" w:line="0" w:lineRule="atLeast"/>
        <w:ind w:left="2" w:rightChars="2" w:right="5"/>
        <w:jc w:val="both"/>
        <w:rPr>
          <w:rFonts w:eastAsia="標楷體"/>
          <w:sz w:val="28"/>
        </w:rPr>
      </w:pPr>
      <w:r w:rsidRPr="00417ECC">
        <w:rPr>
          <w:rFonts w:eastAsia="標楷體" w:hint="eastAsia"/>
          <w:sz w:val="28"/>
        </w:rPr>
        <w:lastRenderedPageBreak/>
        <w:t>五、頒獎及表揚方式</w:t>
      </w:r>
    </w:p>
    <w:p w:rsidR="00417ECC" w:rsidRPr="00417ECC" w:rsidRDefault="00417ECC" w:rsidP="00417ECC">
      <w:pPr>
        <w:spacing w:beforeLines="50" w:before="180" w:afterLines="50" w:after="180" w:line="0" w:lineRule="atLeast"/>
        <w:ind w:leftChars="236" w:left="1414" w:rightChars="2" w:right="5" w:hangingChars="303" w:hanging="848"/>
        <w:jc w:val="both"/>
        <w:rPr>
          <w:rFonts w:eastAsia="標楷體"/>
          <w:sz w:val="28"/>
        </w:rPr>
      </w:pPr>
      <w:r w:rsidRPr="00417ECC">
        <w:rPr>
          <w:rFonts w:eastAsia="標楷體" w:hint="eastAsia"/>
          <w:sz w:val="28"/>
        </w:rPr>
        <w:t>（一）總統科學獎每二年辦理一次，每次得獎人以四名</w:t>
      </w:r>
      <w:proofErr w:type="gramStart"/>
      <w:r w:rsidRPr="00417ECC">
        <w:rPr>
          <w:rFonts w:eastAsia="標楷體" w:hint="eastAsia"/>
          <w:sz w:val="28"/>
        </w:rPr>
        <w:t>以內（</w:t>
      </w:r>
      <w:proofErr w:type="gramEnd"/>
      <w:r w:rsidRPr="00417ECC">
        <w:rPr>
          <w:rFonts w:eastAsia="標楷體" w:hint="eastAsia"/>
          <w:sz w:val="28"/>
        </w:rPr>
        <w:t>不分組別）為原則。</w:t>
      </w:r>
    </w:p>
    <w:p w:rsidR="00417ECC" w:rsidRPr="00417ECC" w:rsidRDefault="00417ECC" w:rsidP="00417ECC">
      <w:pPr>
        <w:spacing w:beforeLines="50" w:before="180" w:afterLines="50" w:after="180" w:line="0" w:lineRule="atLeast"/>
        <w:ind w:leftChars="236" w:left="1414" w:rightChars="2" w:right="5" w:hangingChars="303" w:hanging="848"/>
        <w:jc w:val="both"/>
        <w:rPr>
          <w:rFonts w:eastAsia="標楷體"/>
          <w:sz w:val="28"/>
        </w:rPr>
      </w:pPr>
      <w:r w:rsidRPr="00417ECC">
        <w:rPr>
          <w:rFonts w:eastAsia="標楷體" w:hint="eastAsia"/>
          <w:sz w:val="28"/>
        </w:rPr>
        <w:t>（二）為表彰得獎人之貢獻，以隆重儀式由</w:t>
      </w:r>
      <w:r w:rsidRPr="00417ECC">
        <w:rPr>
          <w:rFonts w:eastAsia="標楷體" w:hint="eastAsia"/>
          <w:sz w:val="28"/>
        </w:rPr>
        <w:t xml:space="preserve">  </w:t>
      </w:r>
      <w:r w:rsidRPr="00417ECC">
        <w:rPr>
          <w:rFonts w:eastAsia="標楷體" w:hint="eastAsia"/>
          <w:sz w:val="28"/>
        </w:rPr>
        <w:t>總統頒發獎金每獎項新臺幣二百萬元、每位得獎人獎狀一紙及獎座一座。</w:t>
      </w:r>
    </w:p>
    <w:p w:rsidR="00417ECC" w:rsidRDefault="00417ECC" w:rsidP="00417ECC">
      <w:pPr>
        <w:spacing w:beforeLines="50" w:before="180" w:afterLines="50" w:after="180" w:line="0" w:lineRule="atLeast"/>
        <w:ind w:leftChars="236" w:left="1414" w:rightChars="2" w:right="5" w:hangingChars="303" w:hanging="848"/>
        <w:jc w:val="both"/>
        <w:rPr>
          <w:rFonts w:eastAsia="標楷體"/>
          <w:sz w:val="28"/>
        </w:rPr>
      </w:pPr>
      <w:r w:rsidRPr="00417ECC">
        <w:rPr>
          <w:rFonts w:eastAsia="標楷體" w:hint="eastAsia"/>
          <w:sz w:val="28"/>
        </w:rPr>
        <w:t>（三）舉辦總統科學獎得獎人公開演講或以其他適當方式介紹得獎人。</w:t>
      </w:r>
    </w:p>
    <w:p w:rsidR="00417ECC" w:rsidRPr="00417ECC" w:rsidRDefault="00417ECC" w:rsidP="00417ECC">
      <w:pPr>
        <w:spacing w:beforeLines="50" w:before="180" w:afterLines="50" w:after="180" w:line="0" w:lineRule="atLeast"/>
        <w:ind w:rightChars="2" w:right="5"/>
        <w:jc w:val="both"/>
        <w:rPr>
          <w:rFonts w:eastAsia="標楷體"/>
          <w:sz w:val="28"/>
        </w:rPr>
      </w:pPr>
      <w:r w:rsidRPr="00417ECC">
        <w:rPr>
          <w:rFonts w:eastAsia="標楷體" w:hint="eastAsia"/>
          <w:sz w:val="28"/>
        </w:rPr>
        <w:t>六、本獎項作業相關經費，由科技部編列年度預算支應。</w:t>
      </w:r>
    </w:p>
    <w:sectPr w:rsidR="00417ECC" w:rsidRPr="00417ECC" w:rsidSect="00C64A9D">
      <w:footerReference w:type="even" r:id="rId8"/>
      <w:footerReference w:type="default" r:id="rId9"/>
      <w:pgSz w:w="11906" w:h="16838" w:code="9"/>
      <w:pgMar w:top="1134" w:right="1191" w:bottom="1134" w:left="1191" w:header="851" w:footer="851"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35FE" w:rsidRDefault="00B835FE">
      <w:r>
        <w:separator/>
      </w:r>
    </w:p>
  </w:endnote>
  <w:endnote w:type="continuationSeparator" w:id="0">
    <w:p w:rsidR="00B835FE" w:rsidRDefault="00B835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474" w:rsidRDefault="00DE0474">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DE0474" w:rsidRDefault="00DE0474">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474" w:rsidRDefault="00DE0474">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D0547D">
      <w:rPr>
        <w:rStyle w:val="a6"/>
        <w:noProof/>
      </w:rPr>
      <w:t>3</w:t>
    </w:r>
    <w:r>
      <w:rPr>
        <w:rStyle w:val="a6"/>
      </w:rPr>
      <w:fldChar w:fldCharType="end"/>
    </w:r>
  </w:p>
  <w:p w:rsidR="00DE0474" w:rsidRDefault="00DE0474">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35FE" w:rsidRDefault="00B835FE">
      <w:r>
        <w:separator/>
      </w:r>
    </w:p>
  </w:footnote>
  <w:footnote w:type="continuationSeparator" w:id="0">
    <w:p w:rsidR="00B835FE" w:rsidRDefault="00B835F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952C6"/>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
    <w:nsid w:val="0B3A64BB"/>
    <w:multiLevelType w:val="hybridMultilevel"/>
    <w:tmpl w:val="9F309E2C"/>
    <w:lvl w:ilvl="0" w:tplc="7A1E73E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0CBB0B5C"/>
    <w:multiLevelType w:val="singleLevel"/>
    <w:tmpl w:val="01B8561E"/>
    <w:lvl w:ilvl="0">
      <w:start w:val="1"/>
      <w:numFmt w:val="taiwaneseCountingThousand"/>
      <w:lvlText w:val="（%1）"/>
      <w:lvlJc w:val="left"/>
      <w:pPr>
        <w:tabs>
          <w:tab w:val="num" w:pos="1800"/>
        </w:tabs>
        <w:ind w:left="1800" w:hanging="1080"/>
      </w:pPr>
      <w:rPr>
        <w:rFonts w:hint="eastAsia"/>
      </w:rPr>
    </w:lvl>
  </w:abstractNum>
  <w:abstractNum w:abstractNumId="3">
    <w:nsid w:val="118843B2"/>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4">
    <w:nsid w:val="16C52651"/>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5">
    <w:nsid w:val="1817578E"/>
    <w:multiLevelType w:val="hybridMultilevel"/>
    <w:tmpl w:val="198A2F08"/>
    <w:lvl w:ilvl="0" w:tplc="2D12934A">
      <w:start w:val="3"/>
      <w:numFmt w:val="bullet"/>
      <w:lvlText w:val="◎"/>
      <w:lvlJc w:val="left"/>
      <w:pPr>
        <w:tabs>
          <w:tab w:val="num" w:pos="360"/>
        </w:tabs>
        <w:ind w:left="360" w:hanging="360"/>
      </w:pPr>
      <w:rPr>
        <w:rFonts w:ascii="Times New Roman" w:eastAsia="標楷體" w:hAnsi="Times New Roman" w:cs="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nsid w:val="308D5035"/>
    <w:multiLevelType w:val="singleLevel"/>
    <w:tmpl w:val="A51EDED6"/>
    <w:lvl w:ilvl="0">
      <w:start w:val="1"/>
      <w:numFmt w:val="taiwaneseCountingThousand"/>
      <w:lvlText w:val="（%1）"/>
      <w:lvlJc w:val="left"/>
      <w:pPr>
        <w:tabs>
          <w:tab w:val="num" w:pos="1605"/>
        </w:tabs>
        <w:ind w:left="1605" w:hanging="960"/>
      </w:pPr>
      <w:rPr>
        <w:rFonts w:hint="eastAsia"/>
      </w:rPr>
    </w:lvl>
  </w:abstractNum>
  <w:abstractNum w:abstractNumId="7">
    <w:nsid w:val="3EDF3085"/>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8">
    <w:nsid w:val="44B807EB"/>
    <w:multiLevelType w:val="singleLevel"/>
    <w:tmpl w:val="CEAAC56A"/>
    <w:lvl w:ilvl="0">
      <w:start w:val="1"/>
      <w:numFmt w:val="taiwaneseCountingThousand"/>
      <w:lvlText w:val="（%1）"/>
      <w:lvlJc w:val="left"/>
      <w:pPr>
        <w:tabs>
          <w:tab w:val="num" w:pos="1800"/>
        </w:tabs>
        <w:ind w:left="1800" w:hanging="1080"/>
      </w:pPr>
      <w:rPr>
        <w:rFonts w:hint="eastAsia"/>
      </w:rPr>
    </w:lvl>
  </w:abstractNum>
  <w:abstractNum w:abstractNumId="9">
    <w:nsid w:val="4FE30C83"/>
    <w:multiLevelType w:val="hybridMultilevel"/>
    <w:tmpl w:val="09C29BE2"/>
    <w:lvl w:ilvl="0" w:tplc="2AD82F8A">
      <w:start w:val="1"/>
      <w:numFmt w:val="taiwaneseCountingThousand"/>
      <w:lvlText w:val="%1、"/>
      <w:lvlJc w:val="left"/>
      <w:pPr>
        <w:tabs>
          <w:tab w:val="num" w:pos="570"/>
        </w:tabs>
        <w:ind w:left="570" w:hanging="57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556D6B8A"/>
    <w:multiLevelType w:val="singleLevel"/>
    <w:tmpl w:val="9F04E4C2"/>
    <w:lvl w:ilvl="0">
      <w:start w:val="1"/>
      <w:numFmt w:val="taiwaneseCountingThousand"/>
      <w:lvlText w:val="（%1）"/>
      <w:lvlJc w:val="left"/>
      <w:pPr>
        <w:tabs>
          <w:tab w:val="num" w:pos="1800"/>
        </w:tabs>
        <w:ind w:left="1800" w:hanging="1080"/>
      </w:pPr>
      <w:rPr>
        <w:rFonts w:hint="eastAsia"/>
      </w:rPr>
    </w:lvl>
  </w:abstractNum>
  <w:abstractNum w:abstractNumId="11">
    <w:nsid w:val="5A9D00B0"/>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2">
    <w:nsid w:val="5C6432C6"/>
    <w:multiLevelType w:val="singleLevel"/>
    <w:tmpl w:val="2968E12A"/>
    <w:lvl w:ilvl="0">
      <w:start w:val="1"/>
      <w:numFmt w:val="taiwaneseCountingThousand"/>
      <w:lvlText w:val="%1、"/>
      <w:lvlJc w:val="left"/>
      <w:pPr>
        <w:tabs>
          <w:tab w:val="num" w:pos="645"/>
        </w:tabs>
        <w:ind w:left="645" w:hanging="645"/>
      </w:pPr>
      <w:rPr>
        <w:rFonts w:hint="eastAsia"/>
      </w:rPr>
    </w:lvl>
  </w:abstractNum>
  <w:abstractNum w:abstractNumId="13">
    <w:nsid w:val="640D1A47"/>
    <w:multiLevelType w:val="hybridMultilevel"/>
    <w:tmpl w:val="4D96F9D0"/>
    <w:lvl w:ilvl="0" w:tplc="23E2133C">
      <w:start w:val="1"/>
      <w:numFmt w:val="decimal"/>
      <w:lvlText w:val="（%1）"/>
      <w:lvlJc w:val="left"/>
      <w:pPr>
        <w:tabs>
          <w:tab w:val="num" w:pos="1282"/>
        </w:tabs>
        <w:ind w:left="1282" w:hanging="720"/>
      </w:pPr>
      <w:rPr>
        <w:rFonts w:hint="eastAsia"/>
      </w:rPr>
    </w:lvl>
    <w:lvl w:ilvl="1" w:tplc="04090019" w:tentative="1">
      <w:start w:val="1"/>
      <w:numFmt w:val="ideographTraditional"/>
      <w:lvlText w:val="%2、"/>
      <w:lvlJc w:val="left"/>
      <w:pPr>
        <w:tabs>
          <w:tab w:val="num" w:pos="1522"/>
        </w:tabs>
        <w:ind w:left="1522" w:hanging="480"/>
      </w:pPr>
    </w:lvl>
    <w:lvl w:ilvl="2" w:tplc="0409001B" w:tentative="1">
      <w:start w:val="1"/>
      <w:numFmt w:val="lowerRoman"/>
      <w:lvlText w:val="%3."/>
      <w:lvlJc w:val="right"/>
      <w:pPr>
        <w:tabs>
          <w:tab w:val="num" w:pos="2002"/>
        </w:tabs>
        <w:ind w:left="2002" w:hanging="480"/>
      </w:pPr>
    </w:lvl>
    <w:lvl w:ilvl="3" w:tplc="0409000F" w:tentative="1">
      <w:start w:val="1"/>
      <w:numFmt w:val="decimal"/>
      <w:lvlText w:val="%4."/>
      <w:lvlJc w:val="left"/>
      <w:pPr>
        <w:tabs>
          <w:tab w:val="num" w:pos="2482"/>
        </w:tabs>
        <w:ind w:left="2482" w:hanging="480"/>
      </w:pPr>
    </w:lvl>
    <w:lvl w:ilvl="4" w:tplc="04090019" w:tentative="1">
      <w:start w:val="1"/>
      <w:numFmt w:val="ideographTraditional"/>
      <w:lvlText w:val="%5、"/>
      <w:lvlJc w:val="left"/>
      <w:pPr>
        <w:tabs>
          <w:tab w:val="num" w:pos="2962"/>
        </w:tabs>
        <w:ind w:left="2962" w:hanging="480"/>
      </w:pPr>
    </w:lvl>
    <w:lvl w:ilvl="5" w:tplc="0409001B" w:tentative="1">
      <w:start w:val="1"/>
      <w:numFmt w:val="lowerRoman"/>
      <w:lvlText w:val="%6."/>
      <w:lvlJc w:val="right"/>
      <w:pPr>
        <w:tabs>
          <w:tab w:val="num" w:pos="3442"/>
        </w:tabs>
        <w:ind w:left="3442" w:hanging="480"/>
      </w:pPr>
    </w:lvl>
    <w:lvl w:ilvl="6" w:tplc="0409000F" w:tentative="1">
      <w:start w:val="1"/>
      <w:numFmt w:val="decimal"/>
      <w:lvlText w:val="%7."/>
      <w:lvlJc w:val="left"/>
      <w:pPr>
        <w:tabs>
          <w:tab w:val="num" w:pos="3922"/>
        </w:tabs>
        <w:ind w:left="3922" w:hanging="480"/>
      </w:pPr>
    </w:lvl>
    <w:lvl w:ilvl="7" w:tplc="04090019" w:tentative="1">
      <w:start w:val="1"/>
      <w:numFmt w:val="ideographTraditional"/>
      <w:lvlText w:val="%8、"/>
      <w:lvlJc w:val="left"/>
      <w:pPr>
        <w:tabs>
          <w:tab w:val="num" w:pos="4402"/>
        </w:tabs>
        <w:ind w:left="4402" w:hanging="480"/>
      </w:pPr>
    </w:lvl>
    <w:lvl w:ilvl="8" w:tplc="0409001B" w:tentative="1">
      <w:start w:val="1"/>
      <w:numFmt w:val="lowerRoman"/>
      <w:lvlText w:val="%9."/>
      <w:lvlJc w:val="right"/>
      <w:pPr>
        <w:tabs>
          <w:tab w:val="num" w:pos="4882"/>
        </w:tabs>
        <w:ind w:left="4882" w:hanging="480"/>
      </w:pPr>
    </w:lvl>
  </w:abstractNum>
  <w:abstractNum w:abstractNumId="14">
    <w:nsid w:val="74BA667F"/>
    <w:multiLevelType w:val="hybridMultilevel"/>
    <w:tmpl w:val="B7AA7B56"/>
    <w:lvl w:ilvl="0" w:tplc="CFC8C1F0">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5">
    <w:nsid w:val="7BF40A0C"/>
    <w:multiLevelType w:val="singleLevel"/>
    <w:tmpl w:val="4C12CE30"/>
    <w:lvl w:ilvl="0">
      <w:start w:val="2"/>
      <w:numFmt w:val="bullet"/>
      <w:lvlText w:val="□"/>
      <w:lvlJc w:val="left"/>
      <w:pPr>
        <w:tabs>
          <w:tab w:val="num" w:pos="285"/>
        </w:tabs>
        <w:ind w:left="285" w:hanging="285"/>
      </w:pPr>
      <w:rPr>
        <w:rFonts w:ascii="標楷體" w:eastAsia="標楷體" w:hAnsi="Times New Roman" w:hint="eastAsia"/>
      </w:rPr>
    </w:lvl>
  </w:abstractNum>
  <w:num w:numId="1">
    <w:abstractNumId w:val="12"/>
  </w:num>
  <w:num w:numId="2">
    <w:abstractNumId w:val="11"/>
  </w:num>
  <w:num w:numId="3">
    <w:abstractNumId w:val="3"/>
  </w:num>
  <w:num w:numId="4">
    <w:abstractNumId w:val="7"/>
  </w:num>
  <w:num w:numId="5">
    <w:abstractNumId w:val="4"/>
  </w:num>
  <w:num w:numId="6">
    <w:abstractNumId w:val="0"/>
  </w:num>
  <w:num w:numId="7">
    <w:abstractNumId w:val="10"/>
  </w:num>
  <w:num w:numId="8">
    <w:abstractNumId w:val="8"/>
  </w:num>
  <w:num w:numId="9">
    <w:abstractNumId w:val="2"/>
  </w:num>
  <w:num w:numId="10">
    <w:abstractNumId w:val="6"/>
  </w:num>
  <w:num w:numId="11">
    <w:abstractNumId w:val="15"/>
  </w:num>
  <w:num w:numId="12">
    <w:abstractNumId w:val="5"/>
  </w:num>
  <w:num w:numId="13">
    <w:abstractNumId w:val="13"/>
  </w:num>
  <w:num w:numId="14">
    <w:abstractNumId w:val="9"/>
  </w:num>
  <w:num w:numId="15">
    <w:abstractNumId w:val="14"/>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5C98"/>
    <w:rsid w:val="00002984"/>
    <w:rsid w:val="000035A8"/>
    <w:rsid w:val="000129BB"/>
    <w:rsid w:val="0002412F"/>
    <w:rsid w:val="00024532"/>
    <w:rsid w:val="00027FEA"/>
    <w:rsid w:val="00056A2B"/>
    <w:rsid w:val="00090908"/>
    <w:rsid w:val="000B6E0A"/>
    <w:rsid w:val="000C6CD6"/>
    <w:rsid w:val="000E694C"/>
    <w:rsid w:val="000F47D1"/>
    <w:rsid w:val="001077DA"/>
    <w:rsid w:val="00115F5B"/>
    <w:rsid w:val="00131410"/>
    <w:rsid w:val="0013416D"/>
    <w:rsid w:val="00147C19"/>
    <w:rsid w:val="00153E82"/>
    <w:rsid w:val="00172492"/>
    <w:rsid w:val="00192F7A"/>
    <w:rsid w:val="001E18F4"/>
    <w:rsid w:val="001E5976"/>
    <w:rsid w:val="001F01D1"/>
    <w:rsid w:val="00201555"/>
    <w:rsid w:val="00213F60"/>
    <w:rsid w:val="00214976"/>
    <w:rsid w:val="00271284"/>
    <w:rsid w:val="00282136"/>
    <w:rsid w:val="00286C91"/>
    <w:rsid w:val="00287501"/>
    <w:rsid w:val="002B252B"/>
    <w:rsid w:val="002B7E31"/>
    <w:rsid w:val="002C721D"/>
    <w:rsid w:val="002E0D69"/>
    <w:rsid w:val="0030076B"/>
    <w:rsid w:val="0036298F"/>
    <w:rsid w:val="00377FF7"/>
    <w:rsid w:val="00381BC2"/>
    <w:rsid w:val="00394323"/>
    <w:rsid w:val="003A5D7E"/>
    <w:rsid w:val="003B0948"/>
    <w:rsid w:val="003E3A07"/>
    <w:rsid w:val="003F0467"/>
    <w:rsid w:val="00417C73"/>
    <w:rsid w:val="00417ECC"/>
    <w:rsid w:val="00420DBC"/>
    <w:rsid w:val="00424D2D"/>
    <w:rsid w:val="004363D1"/>
    <w:rsid w:val="0045091F"/>
    <w:rsid w:val="004746A9"/>
    <w:rsid w:val="00477F0E"/>
    <w:rsid w:val="004902B5"/>
    <w:rsid w:val="004909BE"/>
    <w:rsid w:val="004C54B6"/>
    <w:rsid w:val="004D1B7F"/>
    <w:rsid w:val="004E6AF3"/>
    <w:rsid w:val="004F407A"/>
    <w:rsid w:val="00521EB5"/>
    <w:rsid w:val="00544D38"/>
    <w:rsid w:val="00552DFC"/>
    <w:rsid w:val="0055783F"/>
    <w:rsid w:val="005653C1"/>
    <w:rsid w:val="00585FA4"/>
    <w:rsid w:val="00586709"/>
    <w:rsid w:val="00590A41"/>
    <w:rsid w:val="005B6FCA"/>
    <w:rsid w:val="005F0415"/>
    <w:rsid w:val="005F71DF"/>
    <w:rsid w:val="006235B6"/>
    <w:rsid w:val="00623D57"/>
    <w:rsid w:val="006418CA"/>
    <w:rsid w:val="006457C0"/>
    <w:rsid w:val="00662B98"/>
    <w:rsid w:val="0066468C"/>
    <w:rsid w:val="00674E55"/>
    <w:rsid w:val="00682222"/>
    <w:rsid w:val="006924EC"/>
    <w:rsid w:val="00695F6B"/>
    <w:rsid w:val="006A6A30"/>
    <w:rsid w:val="006B1B1C"/>
    <w:rsid w:val="006B57FF"/>
    <w:rsid w:val="006C0485"/>
    <w:rsid w:val="006F06BC"/>
    <w:rsid w:val="006F2637"/>
    <w:rsid w:val="006F3C5B"/>
    <w:rsid w:val="00700384"/>
    <w:rsid w:val="00725C98"/>
    <w:rsid w:val="007376BA"/>
    <w:rsid w:val="00741DF5"/>
    <w:rsid w:val="00753FEC"/>
    <w:rsid w:val="0075708F"/>
    <w:rsid w:val="007828CE"/>
    <w:rsid w:val="007A348B"/>
    <w:rsid w:val="007A6FE2"/>
    <w:rsid w:val="007B0A8E"/>
    <w:rsid w:val="007C2D82"/>
    <w:rsid w:val="007C391B"/>
    <w:rsid w:val="007C4060"/>
    <w:rsid w:val="007F20B7"/>
    <w:rsid w:val="0080080F"/>
    <w:rsid w:val="00801092"/>
    <w:rsid w:val="0081409A"/>
    <w:rsid w:val="00816E4F"/>
    <w:rsid w:val="0083585F"/>
    <w:rsid w:val="008416B9"/>
    <w:rsid w:val="0084488B"/>
    <w:rsid w:val="008519D7"/>
    <w:rsid w:val="0086054E"/>
    <w:rsid w:val="008817BA"/>
    <w:rsid w:val="00883D8A"/>
    <w:rsid w:val="008942A5"/>
    <w:rsid w:val="0089491A"/>
    <w:rsid w:val="008A045A"/>
    <w:rsid w:val="008B28BA"/>
    <w:rsid w:val="008C053E"/>
    <w:rsid w:val="008C1A6D"/>
    <w:rsid w:val="008C4F50"/>
    <w:rsid w:val="008D7DEA"/>
    <w:rsid w:val="00903F15"/>
    <w:rsid w:val="009071C6"/>
    <w:rsid w:val="009071FC"/>
    <w:rsid w:val="009149C6"/>
    <w:rsid w:val="00915236"/>
    <w:rsid w:val="00936E6B"/>
    <w:rsid w:val="009426C1"/>
    <w:rsid w:val="00957DCE"/>
    <w:rsid w:val="009658FD"/>
    <w:rsid w:val="009818CF"/>
    <w:rsid w:val="00984924"/>
    <w:rsid w:val="0098522D"/>
    <w:rsid w:val="00990AB1"/>
    <w:rsid w:val="009B0090"/>
    <w:rsid w:val="009B0F46"/>
    <w:rsid w:val="009B4B07"/>
    <w:rsid w:val="009D7A97"/>
    <w:rsid w:val="009E5C72"/>
    <w:rsid w:val="00A057D7"/>
    <w:rsid w:val="00A06E2C"/>
    <w:rsid w:val="00A37A48"/>
    <w:rsid w:val="00A46CF6"/>
    <w:rsid w:val="00A85CAD"/>
    <w:rsid w:val="00AF6D88"/>
    <w:rsid w:val="00B15E38"/>
    <w:rsid w:val="00B40B7E"/>
    <w:rsid w:val="00B65377"/>
    <w:rsid w:val="00B706F7"/>
    <w:rsid w:val="00B835FE"/>
    <w:rsid w:val="00B92DE2"/>
    <w:rsid w:val="00BA76BE"/>
    <w:rsid w:val="00BB3141"/>
    <w:rsid w:val="00BB7E10"/>
    <w:rsid w:val="00BC0C4A"/>
    <w:rsid w:val="00BD1594"/>
    <w:rsid w:val="00C379C3"/>
    <w:rsid w:val="00C43EBF"/>
    <w:rsid w:val="00C569E5"/>
    <w:rsid w:val="00C61001"/>
    <w:rsid w:val="00C64A9D"/>
    <w:rsid w:val="00CB579A"/>
    <w:rsid w:val="00CC1F56"/>
    <w:rsid w:val="00CD09FF"/>
    <w:rsid w:val="00CD2369"/>
    <w:rsid w:val="00D0547D"/>
    <w:rsid w:val="00D105CB"/>
    <w:rsid w:val="00D11650"/>
    <w:rsid w:val="00D15CFB"/>
    <w:rsid w:val="00D16624"/>
    <w:rsid w:val="00D17965"/>
    <w:rsid w:val="00D23AC5"/>
    <w:rsid w:val="00D32F96"/>
    <w:rsid w:val="00D43DA6"/>
    <w:rsid w:val="00D451A2"/>
    <w:rsid w:val="00D519B6"/>
    <w:rsid w:val="00D52B2C"/>
    <w:rsid w:val="00D72387"/>
    <w:rsid w:val="00D729C6"/>
    <w:rsid w:val="00D74C29"/>
    <w:rsid w:val="00D81C83"/>
    <w:rsid w:val="00D87C80"/>
    <w:rsid w:val="00D94B8B"/>
    <w:rsid w:val="00D96AF3"/>
    <w:rsid w:val="00DB0D1E"/>
    <w:rsid w:val="00DE0474"/>
    <w:rsid w:val="00DE60FC"/>
    <w:rsid w:val="00DE743E"/>
    <w:rsid w:val="00DF6DEB"/>
    <w:rsid w:val="00DF7A88"/>
    <w:rsid w:val="00E14A69"/>
    <w:rsid w:val="00E30DA0"/>
    <w:rsid w:val="00E355F5"/>
    <w:rsid w:val="00E65348"/>
    <w:rsid w:val="00E6639B"/>
    <w:rsid w:val="00E813C0"/>
    <w:rsid w:val="00E90013"/>
    <w:rsid w:val="00E904F1"/>
    <w:rsid w:val="00EA2CEE"/>
    <w:rsid w:val="00EA5977"/>
    <w:rsid w:val="00EC04BB"/>
    <w:rsid w:val="00ED1FBE"/>
    <w:rsid w:val="00ED56AA"/>
    <w:rsid w:val="00ED61D8"/>
    <w:rsid w:val="00EE30A2"/>
    <w:rsid w:val="00EE5966"/>
    <w:rsid w:val="00F0659C"/>
    <w:rsid w:val="00F077D0"/>
    <w:rsid w:val="00F237FC"/>
    <w:rsid w:val="00F520CE"/>
    <w:rsid w:val="00F567B0"/>
    <w:rsid w:val="00F87B00"/>
    <w:rsid w:val="00F954B6"/>
    <w:rsid w:val="00FD13C2"/>
    <w:rsid w:val="00FF375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Pr>
      <w:rFonts w:eastAsia="標楷體"/>
      <w:sz w:val="32"/>
    </w:rPr>
  </w:style>
  <w:style w:type="paragraph" w:styleId="2">
    <w:name w:val="Body Text 2"/>
    <w:basedOn w:val="a"/>
    <w:pPr>
      <w:jc w:val="both"/>
    </w:pPr>
    <w:rPr>
      <w:rFonts w:eastAsia="標楷體"/>
      <w:sz w:val="32"/>
    </w:rPr>
  </w:style>
  <w:style w:type="paragraph" w:styleId="a4">
    <w:name w:val="Body Text Indent"/>
    <w:basedOn w:val="a"/>
    <w:pPr>
      <w:ind w:left="1680" w:hanging="960"/>
      <w:jc w:val="both"/>
    </w:pPr>
    <w:rPr>
      <w:rFonts w:eastAsia="標楷體"/>
      <w:sz w:val="32"/>
    </w:rPr>
  </w:style>
  <w:style w:type="paragraph" w:styleId="a5">
    <w:name w:val="footer"/>
    <w:basedOn w:val="a"/>
    <w:pPr>
      <w:tabs>
        <w:tab w:val="center" w:pos="4153"/>
        <w:tab w:val="right" w:pos="8306"/>
      </w:tabs>
      <w:adjustRightInd w:val="0"/>
      <w:snapToGrid w:val="0"/>
      <w:spacing w:line="360" w:lineRule="atLeast"/>
      <w:textAlignment w:val="baseline"/>
    </w:pPr>
    <w:rPr>
      <w:kern w:val="0"/>
      <w:sz w:val="20"/>
    </w:rPr>
  </w:style>
  <w:style w:type="character" w:styleId="a6">
    <w:name w:val="page number"/>
    <w:basedOn w:val="a0"/>
  </w:style>
  <w:style w:type="paragraph" w:styleId="3">
    <w:name w:val="Body Text 3"/>
    <w:basedOn w:val="a"/>
    <w:pPr>
      <w:spacing w:line="0" w:lineRule="atLeast"/>
      <w:jc w:val="both"/>
    </w:pPr>
    <w:rPr>
      <w:rFonts w:ascii="標楷體" w:eastAsia="標楷體" w:hAnsi="標楷體"/>
      <w:sz w:val="28"/>
    </w:rPr>
  </w:style>
  <w:style w:type="paragraph" w:styleId="20">
    <w:name w:val="Body Text Indent 2"/>
    <w:basedOn w:val="a"/>
    <w:pPr>
      <w:spacing w:before="120" w:after="120" w:line="0" w:lineRule="atLeast"/>
      <w:ind w:left="840" w:hangingChars="300" w:hanging="840"/>
      <w:jc w:val="both"/>
    </w:pPr>
    <w:rPr>
      <w:rFonts w:ascii="標楷體" w:eastAsia="標楷體" w:hAnsi="標楷體"/>
      <w:sz w:val="28"/>
    </w:rPr>
  </w:style>
  <w:style w:type="paragraph" w:styleId="30">
    <w:name w:val="Body Text Indent 3"/>
    <w:basedOn w:val="a"/>
    <w:pPr>
      <w:spacing w:line="0" w:lineRule="atLeast"/>
      <w:ind w:leftChars="234" w:left="562"/>
      <w:jc w:val="both"/>
    </w:pPr>
    <w:rPr>
      <w:rFonts w:ascii="標楷體" w:eastAsia="標楷體" w:hAnsi="標楷體"/>
    </w:rPr>
  </w:style>
  <w:style w:type="paragraph" w:styleId="a7">
    <w:name w:val="header"/>
    <w:basedOn w:val="a"/>
    <w:pPr>
      <w:tabs>
        <w:tab w:val="center" w:pos="4153"/>
        <w:tab w:val="right" w:pos="8306"/>
      </w:tabs>
      <w:snapToGrid w:val="0"/>
    </w:pPr>
    <w:rPr>
      <w:sz w:val="20"/>
    </w:rPr>
  </w:style>
  <w:style w:type="paragraph" w:styleId="a8">
    <w:name w:val="Date"/>
    <w:basedOn w:val="a"/>
    <w:next w:val="a"/>
    <w:pPr>
      <w:jc w:val="right"/>
    </w:pPr>
    <w:rPr>
      <w:rFonts w:ascii="標楷體" w:eastAsia="標楷體"/>
    </w:rPr>
  </w:style>
  <w:style w:type="paragraph" w:styleId="a9">
    <w:name w:val="Block Text"/>
    <w:basedOn w:val="a"/>
    <w:pPr>
      <w:spacing w:beforeLines="50" w:before="180" w:afterLines="50" w:after="180" w:line="0" w:lineRule="atLeast"/>
      <w:ind w:leftChars="466" w:left="2078" w:rightChars="68" w:right="163" w:hangingChars="300" w:hanging="960"/>
      <w:jc w:val="both"/>
    </w:pPr>
    <w:rPr>
      <w:rFonts w:ascii="標楷體" w:eastAsia="標楷體" w:hAnsi="標楷體"/>
      <w:sz w:val="32"/>
    </w:rPr>
  </w:style>
  <w:style w:type="table" w:styleId="aa">
    <w:name w:val="Table Grid"/>
    <w:basedOn w:val="a1"/>
    <w:rsid w:val="00D87C80"/>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Hyperlink"/>
    <w:rsid w:val="008B28B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Pr>
      <w:rFonts w:eastAsia="標楷體"/>
      <w:sz w:val="32"/>
    </w:rPr>
  </w:style>
  <w:style w:type="paragraph" w:styleId="2">
    <w:name w:val="Body Text 2"/>
    <w:basedOn w:val="a"/>
    <w:pPr>
      <w:jc w:val="both"/>
    </w:pPr>
    <w:rPr>
      <w:rFonts w:eastAsia="標楷體"/>
      <w:sz w:val="32"/>
    </w:rPr>
  </w:style>
  <w:style w:type="paragraph" w:styleId="a4">
    <w:name w:val="Body Text Indent"/>
    <w:basedOn w:val="a"/>
    <w:pPr>
      <w:ind w:left="1680" w:hanging="960"/>
      <w:jc w:val="both"/>
    </w:pPr>
    <w:rPr>
      <w:rFonts w:eastAsia="標楷體"/>
      <w:sz w:val="32"/>
    </w:rPr>
  </w:style>
  <w:style w:type="paragraph" w:styleId="a5">
    <w:name w:val="footer"/>
    <w:basedOn w:val="a"/>
    <w:pPr>
      <w:tabs>
        <w:tab w:val="center" w:pos="4153"/>
        <w:tab w:val="right" w:pos="8306"/>
      </w:tabs>
      <w:adjustRightInd w:val="0"/>
      <w:snapToGrid w:val="0"/>
      <w:spacing w:line="360" w:lineRule="atLeast"/>
      <w:textAlignment w:val="baseline"/>
    </w:pPr>
    <w:rPr>
      <w:kern w:val="0"/>
      <w:sz w:val="20"/>
    </w:rPr>
  </w:style>
  <w:style w:type="character" w:styleId="a6">
    <w:name w:val="page number"/>
    <w:basedOn w:val="a0"/>
  </w:style>
  <w:style w:type="paragraph" w:styleId="3">
    <w:name w:val="Body Text 3"/>
    <w:basedOn w:val="a"/>
    <w:pPr>
      <w:spacing w:line="0" w:lineRule="atLeast"/>
      <w:jc w:val="both"/>
    </w:pPr>
    <w:rPr>
      <w:rFonts w:ascii="標楷體" w:eastAsia="標楷體" w:hAnsi="標楷體"/>
      <w:sz w:val="28"/>
    </w:rPr>
  </w:style>
  <w:style w:type="paragraph" w:styleId="20">
    <w:name w:val="Body Text Indent 2"/>
    <w:basedOn w:val="a"/>
    <w:pPr>
      <w:spacing w:before="120" w:after="120" w:line="0" w:lineRule="atLeast"/>
      <w:ind w:left="840" w:hangingChars="300" w:hanging="840"/>
      <w:jc w:val="both"/>
    </w:pPr>
    <w:rPr>
      <w:rFonts w:ascii="標楷體" w:eastAsia="標楷體" w:hAnsi="標楷體"/>
      <w:sz w:val="28"/>
    </w:rPr>
  </w:style>
  <w:style w:type="paragraph" w:styleId="30">
    <w:name w:val="Body Text Indent 3"/>
    <w:basedOn w:val="a"/>
    <w:pPr>
      <w:spacing w:line="0" w:lineRule="atLeast"/>
      <w:ind w:leftChars="234" w:left="562"/>
      <w:jc w:val="both"/>
    </w:pPr>
    <w:rPr>
      <w:rFonts w:ascii="標楷體" w:eastAsia="標楷體" w:hAnsi="標楷體"/>
    </w:rPr>
  </w:style>
  <w:style w:type="paragraph" w:styleId="a7">
    <w:name w:val="header"/>
    <w:basedOn w:val="a"/>
    <w:pPr>
      <w:tabs>
        <w:tab w:val="center" w:pos="4153"/>
        <w:tab w:val="right" w:pos="8306"/>
      </w:tabs>
      <w:snapToGrid w:val="0"/>
    </w:pPr>
    <w:rPr>
      <w:sz w:val="20"/>
    </w:rPr>
  </w:style>
  <w:style w:type="paragraph" w:styleId="a8">
    <w:name w:val="Date"/>
    <w:basedOn w:val="a"/>
    <w:next w:val="a"/>
    <w:pPr>
      <w:jc w:val="right"/>
    </w:pPr>
    <w:rPr>
      <w:rFonts w:ascii="標楷體" w:eastAsia="標楷體"/>
    </w:rPr>
  </w:style>
  <w:style w:type="paragraph" w:styleId="a9">
    <w:name w:val="Block Text"/>
    <w:basedOn w:val="a"/>
    <w:pPr>
      <w:spacing w:beforeLines="50" w:before="180" w:afterLines="50" w:after="180" w:line="0" w:lineRule="atLeast"/>
      <w:ind w:leftChars="466" w:left="2078" w:rightChars="68" w:right="163" w:hangingChars="300" w:hanging="960"/>
      <w:jc w:val="both"/>
    </w:pPr>
    <w:rPr>
      <w:rFonts w:ascii="標楷體" w:eastAsia="標楷體" w:hAnsi="標楷體"/>
      <w:sz w:val="32"/>
    </w:rPr>
  </w:style>
  <w:style w:type="table" w:styleId="aa">
    <w:name w:val="Table Grid"/>
    <w:basedOn w:val="a1"/>
    <w:rsid w:val="00D87C80"/>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Hyperlink"/>
    <w:rsid w:val="008B28B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227</Words>
  <Characters>1298</Characters>
  <Application>Microsoft Office Word</Application>
  <DocSecurity>0</DocSecurity>
  <Lines>10</Lines>
  <Paragraphs>3</Paragraphs>
  <ScaleCrop>false</ScaleCrop>
  <Company>NSC-DM</Company>
  <LinksUpToDate>false</LinksUpToDate>
  <CharactersWithSpaces>1522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『總統科學獎』作業辦法草案</dc:title>
  <dc:creator>劉一強</dc:creator>
  <cp:lastModifiedBy>黃有敬</cp:lastModifiedBy>
  <cp:revision>7</cp:revision>
  <cp:lastPrinted>2010-09-14T07:55:00Z</cp:lastPrinted>
  <dcterms:created xsi:type="dcterms:W3CDTF">2014-08-08T02:55:00Z</dcterms:created>
  <dcterms:modified xsi:type="dcterms:W3CDTF">2014-08-27T05:44:00Z</dcterms:modified>
</cp:coreProperties>
</file>